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41" w:rsidRPr="003E4C41" w:rsidRDefault="003E4C41" w:rsidP="003E4C41">
      <w:pPr>
        <w:pStyle w:val="NoSpacing"/>
        <w:rPr>
          <w:rFonts w:asciiTheme="majorBidi" w:eastAsia="Times New Roman" w:hAnsiTheme="majorBidi" w:cstheme="majorBidi"/>
          <w:b/>
          <w:bCs/>
          <w:sz w:val="24"/>
          <w:szCs w:val="24"/>
          <w:lang w:eastAsia="id-ID"/>
        </w:rPr>
      </w:pPr>
      <w:proofErr w:type="spellStart"/>
      <w:r w:rsidRPr="003E4C41">
        <w:rPr>
          <w:rFonts w:asciiTheme="majorBidi" w:eastAsia="Times New Roman" w:hAnsiTheme="majorBidi" w:cstheme="majorBidi"/>
          <w:b/>
          <w:bCs/>
          <w:sz w:val="24"/>
          <w:szCs w:val="24"/>
          <w:lang w:eastAsia="id-ID"/>
        </w:rPr>
        <w:t>Edisi</w:t>
      </w:r>
      <w:proofErr w:type="spellEnd"/>
      <w:r w:rsidRPr="003E4C41">
        <w:rPr>
          <w:rFonts w:asciiTheme="majorBidi" w:eastAsia="Times New Roman" w:hAnsiTheme="majorBidi" w:cstheme="majorBidi"/>
          <w:b/>
          <w:bCs/>
          <w:sz w:val="24"/>
          <w:szCs w:val="24"/>
          <w:lang w:eastAsia="id-ID"/>
        </w:rPr>
        <w:tab/>
      </w:r>
      <w:r w:rsidRPr="003E4C41">
        <w:rPr>
          <w:rFonts w:asciiTheme="majorBidi" w:eastAsia="Times New Roman" w:hAnsiTheme="majorBidi" w:cstheme="majorBidi"/>
          <w:b/>
          <w:bCs/>
          <w:sz w:val="24"/>
          <w:szCs w:val="24"/>
          <w:lang w:eastAsia="id-ID"/>
        </w:rPr>
        <w:tab/>
        <w:t xml:space="preserve">: </w:t>
      </w:r>
      <w:proofErr w:type="spellStart"/>
      <w:r w:rsidRPr="003E4C41">
        <w:rPr>
          <w:rFonts w:asciiTheme="majorBidi" w:hAnsiTheme="majorBidi" w:cstheme="majorBidi"/>
          <w:b/>
          <w:sz w:val="24"/>
          <w:szCs w:val="24"/>
        </w:rPr>
        <w:t>Selasa</w:t>
      </w:r>
      <w:proofErr w:type="spellEnd"/>
      <w:r w:rsidRPr="003E4C41">
        <w:rPr>
          <w:rFonts w:asciiTheme="majorBidi" w:hAnsiTheme="majorBidi" w:cstheme="majorBidi"/>
          <w:b/>
          <w:sz w:val="24"/>
          <w:szCs w:val="24"/>
        </w:rPr>
        <w:t xml:space="preserve">/5 </w:t>
      </w:r>
      <w:proofErr w:type="spellStart"/>
      <w:r w:rsidRPr="003E4C41">
        <w:rPr>
          <w:rFonts w:asciiTheme="majorBidi" w:hAnsiTheme="majorBidi" w:cstheme="majorBidi"/>
          <w:b/>
          <w:sz w:val="24"/>
          <w:szCs w:val="24"/>
        </w:rPr>
        <w:t>Desember</w:t>
      </w:r>
      <w:proofErr w:type="spellEnd"/>
      <w:r w:rsidRPr="003E4C41">
        <w:rPr>
          <w:rFonts w:asciiTheme="majorBidi" w:hAnsiTheme="majorBidi" w:cstheme="majorBidi"/>
          <w:b/>
          <w:sz w:val="24"/>
          <w:szCs w:val="24"/>
        </w:rPr>
        <w:t xml:space="preserve"> 2012</w:t>
      </w:r>
    </w:p>
    <w:p w:rsidR="003E4C41" w:rsidRPr="003E4C41" w:rsidRDefault="003E4C41" w:rsidP="003E4C41">
      <w:pPr>
        <w:pStyle w:val="NoSpacing"/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</w:pPr>
      <w:proofErr w:type="spellStart"/>
      <w:r w:rsidRPr="003E4C41">
        <w:rPr>
          <w:rFonts w:asciiTheme="majorBidi" w:hAnsiTheme="majorBidi" w:cstheme="majorBidi"/>
          <w:b/>
          <w:sz w:val="24"/>
          <w:szCs w:val="24"/>
        </w:rPr>
        <w:t>Tema</w:t>
      </w:r>
      <w:proofErr w:type="spellEnd"/>
      <w:r w:rsidRPr="003E4C41">
        <w:rPr>
          <w:rFonts w:asciiTheme="majorBidi" w:hAnsiTheme="majorBidi" w:cstheme="majorBidi"/>
          <w:b/>
          <w:sz w:val="24"/>
          <w:szCs w:val="24"/>
        </w:rPr>
        <w:tab/>
      </w:r>
      <w:r w:rsidRPr="003E4C41">
        <w:rPr>
          <w:rFonts w:asciiTheme="majorBidi" w:hAnsiTheme="majorBidi" w:cstheme="majorBidi"/>
          <w:b/>
          <w:sz w:val="24"/>
          <w:szCs w:val="24"/>
        </w:rPr>
        <w:tab/>
        <w:t xml:space="preserve">: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Perlukah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tentang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isu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rokok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dan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bahayanya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diberikan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sejak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usia</w:t>
      </w:r>
      <w:proofErr w:type="spellEnd"/>
      <w:proofErr w:type="gram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dini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? </w:t>
      </w:r>
    </w:p>
    <w:p w:rsidR="003E4C41" w:rsidRPr="003E4C41" w:rsidRDefault="003E4C41" w:rsidP="003E4C41">
      <w:pPr>
        <w:pStyle w:val="NoSpacing"/>
        <w:rPr>
          <w:rFonts w:asciiTheme="majorBidi" w:eastAsia="Times New Roman" w:hAnsiTheme="majorBidi" w:cstheme="majorBidi"/>
          <w:b/>
          <w:bCs/>
          <w:sz w:val="24"/>
          <w:szCs w:val="24"/>
          <w:lang w:eastAsia="id-ID"/>
        </w:rPr>
      </w:pPr>
      <w:proofErr w:type="spellStart"/>
      <w:r w:rsidRPr="003E4C41">
        <w:rPr>
          <w:rFonts w:asciiTheme="majorBidi" w:eastAsia="Times New Roman" w:hAnsiTheme="majorBidi" w:cstheme="majorBidi"/>
          <w:b/>
          <w:bCs/>
          <w:sz w:val="24"/>
          <w:szCs w:val="24"/>
          <w:lang w:eastAsia="id-ID"/>
        </w:rPr>
        <w:t>Narasumber</w:t>
      </w:r>
      <w:proofErr w:type="spellEnd"/>
      <w:r w:rsidRPr="003E4C41">
        <w:rPr>
          <w:rFonts w:asciiTheme="majorBidi" w:eastAsia="Times New Roman" w:hAnsiTheme="majorBidi" w:cstheme="majorBidi"/>
          <w:b/>
          <w:bCs/>
          <w:sz w:val="24"/>
          <w:szCs w:val="24"/>
          <w:lang w:eastAsia="id-ID"/>
        </w:rPr>
        <w:tab/>
        <w:t xml:space="preserve">: </w:t>
      </w:r>
    </w:p>
    <w:p w:rsidR="003E4C41" w:rsidRPr="003E4C41" w:rsidRDefault="003E4C41" w:rsidP="003E4C41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Dian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Rubyanti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SE.Ak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., MPA (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pengamat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sosial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dan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anak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)</w:t>
      </w:r>
    </w:p>
    <w:p w:rsidR="003E4C41" w:rsidRPr="003E4C41" w:rsidRDefault="003E4C41" w:rsidP="003E4C41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Sarah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Jumalia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, S.S (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IRT,guru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pemerhati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bidang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parenting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dan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)</w:t>
      </w:r>
    </w:p>
    <w:p w:rsidR="003E4C41" w:rsidRPr="003E4C41" w:rsidRDefault="003E4C41" w:rsidP="003E4C41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Nasyriah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,</w:t>
      </w:r>
      <w:r w:rsidRPr="003E4C41">
        <w:rPr>
          <w:rStyle w:val="apple-converted-space"/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E4C41">
        <w:rPr>
          <w:rStyle w:val="apple-converted-space"/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S.Ag</w:t>
      </w:r>
      <w:proofErr w:type="spellEnd"/>
      <w:r w:rsidRPr="003E4C41">
        <w:rPr>
          <w:rStyle w:val="apple-converted-space"/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., MA (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pakar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berkarakter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/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dosen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Tarbiyah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IAIN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Ar-Raniry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dan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pemerhati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gender) </w:t>
      </w:r>
    </w:p>
    <w:p w:rsidR="003E4C41" w:rsidRPr="003E4C41" w:rsidRDefault="003E4C41" w:rsidP="003E4C41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Rizanna</w:t>
      </w:r>
      <w:proofErr w:type="spellEnd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 xml:space="preserve"> Rosemary (</w:t>
      </w:r>
      <w:proofErr w:type="spellStart"/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Direktur</w:t>
      </w:r>
      <w:proofErr w:type="spellEnd"/>
      <w:r w:rsidRPr="003E4C41">
        <w:rPr>
          <w:rStyle w:val="apple-converted-space"/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 </w:t>
      </w:r>
      <w:r w:rsidRPr="003E4C41">
        <w:rPr>
          <w:rStyle w:val="il"/>
          <w:rFonts w:asciiTheme="majorBidi" w:hAnsiTheme="majorBidi" w:cstheme="majorBidi"/>
          <w:b/>
          <w:color w:val="222222"/>
          <w:sz w:val="24"/>
          <w:szCs w:val="24"/>
          <w:shd w:val="clear" w:color="auto" w:fill="FFFFCC"/>
        </w:rPr>
        <w:t>CTCS</w:t>
      </w:r>
      <w:r w:rsidRPr="003E4C41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)</w:t>
      </w:r>
    </w:p>
    <w:p w:rsidR="003E4C41" w:rsidRPr="003E4C41" w:rsidRDefault="003E4C41" w:rsidP="003E4C41">
      <w:pPr>
        <w:pStyle w:val="NoSpacing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3E4C41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Sinopsis</w:t>
      </w:r>
      <w:proofErr w:type="spellEnd"/>
      <w:r w:rsidRPr="003E4C41">
        <w:rPr>
          <w:rFonts w:asciiTheme="majorBidi" w:hAnsiTheme="majorBidi" w:cstheme="majorBidi"/>
          <w:sz w:val="24"/>
          <w:szCs w:val="24"/>
          <w:shd w:val="clear" w:color="auto" w:fill="FFFFFF"/>
        </w:rPr>
        <w:tab/>
        <w:t>:</w:t>
      </w:r>
    </w:p>
    <w:p w:rsidR="003E4C41" w:rsidRPr="003E4C41" w:rsidRDefault="003E4C41" w:rsidP="003E4C41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</w:p>
    <w:p w:rsidR="003E4C41" w:rsidRPr="003E4C41" w:rsidRDefault="003E4C41" w:rsidP="003E4C41">
      <w:pPr>
        <w:spacing w:after="240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proofErr w:type="spellStart"/>
      <w:proofErr w:type="gram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Fenomena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merokok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dikalangan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remaja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di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Aceh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khususnya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sudah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sangat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memprihatinkan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.</w:t>
      </w:r>
      <w:proofErr w:type="gram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proofErr w:type="gram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Setiap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tahunnya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,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jumlah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perokok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remaja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di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Aceh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senantiasa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meningkat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.</w:t>
      </w:r>
      <w:proofErr w:type="gram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Saat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ini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kurang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lebih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37%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perokok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di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Aceh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adalah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remaja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,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bahkan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sebagian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besar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dari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mereka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mengakui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mengenal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dan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sudah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mulai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aktif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merokok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saat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usia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yang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sangat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dini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/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muda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,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yakni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7-10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tahun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(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Riskesdas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Provinsi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NAD, 2007). </w:t>
      </w:r>
      <w:proofErr w:type="spellStart"/>
      <w:proofErr w:type="gram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Faktor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lingkungan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(</w:t>
      </w:r>
      <w:r w:rsidRPr="003E4C41">
        <w:rPr>
          <w:rFonts w:asciiTheme="majorBidi" w:eastAsia="Times New Roman" w:hAnsiTheme="majorBidi" w:cstheme="majorBidi"/>
          <w:i/>
          <w:sz w:val="24"/>
          <w:szCs w:val="24"/>
          <w:lang w:eastAsia="id-ID"/>
        </w:rPr>
        <w:t>peer group pressure</w:t>
      </w:r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)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merupakan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salah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satu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faktor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utama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yang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menyebabkan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generasi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muda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produktif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Aceh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ini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sudah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merasakan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kecanduan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dengan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rokok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.</w:t>
      </w:r>
      <w:proofErr w:type="gram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Walau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tidak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dapat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dipungkiri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bahwa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lingkungan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juga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yang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dapat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membantu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dan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mendorong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perokok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anak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dan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remaja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ini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untuk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melepaskan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ketergantungannya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proofErr w:type="gram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akan</w:t>
      </w:r>
      <w:proofErr w:type="spellEnd"/>
      <w:proofErr w:type="gram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zat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adiktif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ini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. </w:t>
      </w:r>
      <w:proofErr w:type="spellStart"/>
      <w:proofErr w:type="gram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Sebagian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pakar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berpendapat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pendidikan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memiliki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pengaruh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penting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dalam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mencegah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perilaku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merokok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dikalangan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generasi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muda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ini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.</w:t>
      </w:r>
      <w:proofErr w:type="gram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gram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CTCS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edisi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ini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mendiskusikan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tentang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sejauhmana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pentingnya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edukasi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tentang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bahaya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rokok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diberikan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dari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sejak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dini</w:t>
      </w:r>
      <w:proofErr w:type="spellEnd"/>
      <w:r w:rsidRPr="003E4C41">
        <w:rPr>
          <w:rFonts w:asciiTheme="majorBidi" w:eastAsia="Times New Roman" w:hAnsiTheme="majorBidi" w:cstheme="majorBidi"/>
          <w:sz w:val="24"/>
          <w:szCs w:val="24"/>
          <w:lang w:eastAsia="id-ID"/>
        </w:rPr>
        <w:t>.</w:t>
      </w:r>
      <w:proofErr w:type="gramEnd"/>
    </w:p>
    <w:p w:rsidR="00DA1D11" w:rsidRPr="003E4C41" w:rsidRDefault="00DA1D11">
      <w:pPr>
        <w:rPr>
          <w:rFonts w:asciiTheme="majorBidi" w:hAnsiTheme="majorBidi" w:cstheme="majorBidi"/>
          <w:sz w:val="24"/>
          <w:szCs w:val="24"/>
        </w:rPr>
      </w:pPr>
    </w:p>
    <w:sectPr w:rsidR="00DA1D11" w:rsidRPr="003E4C41" w:rsidSect="00DA1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9C6"/>
    <w:multiLevelType w:val="hybridMultilevel"/>
    <w:tmpl w:val="B11C20FA"/>
    <w:lvl w:ilvl="0" w:tplc="7338B76A">
      <w:numFmt w:val="bullet"/>
      <w:lvlText w:val="-"/>
      <w:lvlJc w:val="left"/>
      <w:pPr>
        <w:ind w:left="193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E4C41"/>
    <w:rsid w:val="003E4C41"/>
    <w:rsid w:val="00403312"/>
    <w:rsid w:val="00DA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4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4C41"/>
  </w:style>
  <w:style w:type="character" w:customStyle="1" w:styleId="il">
    <w:name w:val="il"/>
    <w:basedOn w:val="DefaultParagraphFont"/>
    <w:rsid w:val="003E4C41"/>
  </w:style>
  <w:style w:type="paragraph" w:styleId="NoSpacing">
    <w:name w:val="No Spacing"/>
    <w:uiPriority w:val="1"/>
    <w:qFormat/>
    <w:rsid w:val="003E4C4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2013-09-07T14:34:00Z</dcterms:created>
  <dcterms:modified xsi:type="dcterms:W3CDTF">2013-09-07T14:35:00Z</dcterms:modified>
</cp:coreProperties>
</file>